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4C596" w14:textId="77777777" w:rsidR="009A7E82" w:rsidRDefault="00000000">
      <w:pPr>
        <w:rPr>
          <w:b/>
        </w:rPr>
      </w:pPr>
      <w:r>
        <w:rPr>
          <w:b/>
          <w:noProof/>
        </w:rPr>
        <w:drawing>
          <wp:inline distT="0" distB="0" distL="0" distR="0" wp14:anchorId="0079D7AF" wp14:editId="5D54019B">
            <wp:extent cx="6107053" cy="150368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107053" cy="1503680"/>
                    </a:xfrm>
                    <a:prstGeom prst="rect">
                      <a:avLst/>
                    </a:prstGeom>
                    <a:ln/>
                  </pic:spPr>
                </pic:pic>
              </a:graphicData>
            </a:graphic>
          </wp:inline>
        </w:drawing>
      </w:r>
    </w:p>
    <w:p w14:paraId="623CC4E3" w14:textId="77777777" w:rsidR="009A7E82" w:rsidRDefault="009A7E82">
      <w:pPr>
        <w:rPr>
          <w:b/>
        </w:rPr>
      </w:pPr>
    </w:p>
    <w:p w14:paraId="505A178C" w14:textId="77777777" w:rsidR="009A7E82" w:rsidRDefault="00000000">
      <w:r>
        <w:rPr>
          <w:b/>
        </w:rPr>
        <w:t>Strategic Plan:</w:t>
      </w:r>
      <w:r>
        <w:t xml:space="preserve">  In the next five years (2023-2028), the Oregon Institute of Technology Foundation Board (“Foundation”) will be guided by this Strategic Plan, adopted in principle in June 2023.  </w:t>
      </w:r>
    </w:p>
    <w:p w14:paraId="2B4642F5" w14:textId="77777777" w:rsidR="009A7E82" w:rsidRDefault="009A7E82"/>
    <w:p w14:paraId="41837676" w14:textId="77777777" w:rsidR="009A7E82" w:rsidRDefault="00000000">
      <w:r>
        <w:rPr>
          <w:b/>
        </w:rPr>
        <w:t>Direction:</w:t>
      </w:r>
      <w:r>
        <w:t xml:space="preserve">  The Foundation will strive to support Oregon Institute of Technology’s (OIT) vision to become Industry’s University and to advance our exclusive designation as Oregon’s Polytechnic University, which was awarded to OIT by the Oregon State Legislature in 2022.</w:t>
      </w:r>
    </w:p>
    <w:p w14:paraId="6B647551" w14:textId="77777777" w:rsidR="009A7E82" w:rsidRDefault="009A7E82"/>
    <w:p w14:paraId="07F58636" w14:textId="77777777" w:rsidR="009A7E82" w:rsidRDefault="00000000">
      <w:r>
        <w:rPr>
          <w:b/>
        </w:rPr>
        <w:t>Mission:</w:t>
      </w:r>
      <w:r>
        <w:t xml:space="preserve">  The Foundation’s mission is to provide an array of resources to support OIT in providing an enriching student-life experience and an education that its graduates highly value.  </w:t>
      </w:r>
    </w:p>
    <w:p w14:paraId="712A7ABD" w14:textId="77777777" w:rsidR="009A7E82" w:rsidRDefault="009A7E82"/>
    <w:p w14:paraId="05B39C8D" w14:textId="77777777" w:rsidR="009A7E82" w:rsidRDefault="00000000">
      <w:pPr>
        <w:rPr>
          <w:b/>
          <w:sz w:val="32"/>
          <w:szCs w:val="32"/>
        </w:rPr>
      </w:pPr>
      <w:r>
        <w:rPr>
          <w:b/>
          <w:sz w:val="32"/>
          <w:szCs w:val="32"/>
        </w:rPr>
        <w:t xml:space="preserve">Goals of the Strategic Plan:  </w:t>
      </w:r>
    </w:p>
    <w:p w14:paraId="56897250" w14:textId="77777777" w:rsidR="009A7E82" w:rsidRDefault="009A7E82">
      <w:pPr>
        <w:rPr>
          <w:b/>
        </w:rPr>
      </w:pPr>
    </w:p>
    <w:p w14:paraId="71F33D87" w14:textId="77777777" w:rsidR="009A7E82" w:rsidRDefault="00000000">
      <w:pPr>
        <w:rPr>
          <w:b/>
        </w:rPr>
      </w:pPr>
      <w:r>
        <w:rPr>
          <w:b/>
          <w:u w:val="single"/>
        </w:rPr>
        <w:t>Pillar 1:  Financial Growth and Strength</w:t>
      </w:r>
      <w:r>
        <w:rPr>
          <w:u w:val="single"/>
        </w:rPr>
        <w:t xml:space="preserve">  </w:t>
      </w:r>
    </w:p>
    <w:p w14:paraId="1B8C5569" w14:textId="77777777" w:rsidR="009A7E82" w:rsidRDefault="00000000">
      <w:pPr>
        <w:numPr>
          <w:ilvl w:val="1"/>
          <w:numId w:val="2"/>
        </w:numPr>
        <w:pBdr>
          <w:top w:val="nil"/>
          <w:left w:val="nil"/>
          <w:bottom w:val="nil"/>
          <w:right w:val="nil"/>
          <w:between w:val="nil"/>
        </w:pBdr>
      </w:pPr>
      <w:r>
        <w:rPr>
          <w:color w:val="000000"/>
        </w:rPr>
        <w:t>Protect and increase the Foundation’s current endowment that primarily funds scholarships.</w:t>
      </w:r>
    </w:p>
    <w:p w14:paraId="71B5703D" w14:textId="77777777" w:rsidR="009A7E82" w:rsidRDefault="00000000">
      <w:pPr>
        <w:numPr>
          <w:ilvl w:val="1"/>
          <w:numId w:val="2"/>
        </w:numPr>
        <w:pBdr>
          <w:top w:val="nil"/>
          <w:left w:val="nil"/>
          <w:bottom w:val="nil"/>
          <w:right w:val="nil"/>
          <w:between w:val="nil"/>
        </w:pBdr>
      </w:pPr>
      <w:r>
        <w:rPr>
          <w:color w:val="000000"/>
        </w:rPr>
        <w:t>Increase general purpose funds available to support capital projects and OIT initiatives.</w:t>
      </w:r>
    </w:p>
    <w:p w14:paraId="589FBEDB" w14:textId="77777777" w:rsidR="009A7E82" w:rsidRDefault="00000000">
      <w:pPr>
        <w:numPr>
          <w:ilvl w:val="1"/>
          <w:numId w:val="2"/>
        </w:numPr>
        <w:pBdr>
          <w:top w:val="nil"/>
          <w:left w:val="nil"/>
          <w:bottom w:val="nil"/>
          <w:right w:val="nil"/>
          <w:between w:val="nil"/>
        </w:pBdr>
      </w:pPr>
      <w:r>
        <w:rPr>
          <w:color w:val="000000"/>
        </w:rPr>
        <w:t>Expand</w:t>
      </w:r>
      <w:r>
        <w:t xml:space="preserve"> and diversify the donor base geographically and into industry.</w:t>
      </w:r>
    </w:p>
    <w:p w14:paraId="0369CA94" w14:textId="77777777" w:rsidR="009A7E82" w:rsidRDefault="00000000">
      <w:pPr>
        <w:numPr>
          <w:ilvl w:val="1"/>
          <w:numId w:val="2"/>
        </w:numPr>
        <w:pBdr>
          <w:top w:val="nil"/>
          <w:left w:val="nil"/>
          <w:bottom w:val="nil"/>
          <w:right w:val="nil"/>
          <w:between w:val="nil"/>
        </w:pBdr>
      </w:pPr>
      <w:r>
        <w:t xml:space="preserve">Expand industry connections (both financial and non-financial opportunities). </w:t>
      </w:r>
    </w:p>
    <w:p w14:paraId="0C8D3C47" w14:textId="77777777" w:rsidR="009A7E82" w:rsidRDefault="00000000">
      <w:pPr>
        <w:numPr>
          <w:ilvl w:val="1"/>
          <w:numId w:val="2"/>
        </w:numPr>
        <w:pBdr>
          <w:top w:val="nil"/>
          <w:left w:val="nil"/>
          <w:bottom w:val="nil"/>
          <w:right w:val="nil"/>
          <w:between w:val="nil"/>
        </w:pBdr>
      </w:pPr>
      <w:r>
        <w:t>Continue to manage legal exposure and risk.</w:t>
      </w:r>
    </w:p>
    <w:p w14:paraId="214E1F3A" w14:textId="77777777" w:rsidR="009A7E82" w:rsidRDefault="00000000">
      <w:pPr>
        <w:numPr>
          <w:ilvl w:val="1"/>
          <w:numId w:val="2"/>
        </w:numPr>
        <w:pBdr>
          <w:top w:val="nil"/>
          <w:left w:val="nil"/>
          <w:bottom w:val="nil"/>
          <w:right w:val="nil"/>
          <w:between w:val="nil"/>
        </w:pBdr>
      </w:pPr>
      <w:r>
        <w:t xml:space="preserve">Identify items to include in a comprehensive capital campaign and conduct a feasibility study to identify items that will garner donor interest and support. </w:t>
      </w:r>
    </w:p>
    <w:p w14:paraId="4D10A6B9" w14:textId="77777777" w:rsidR="009A7E82" w:rsidRDefault="00000000">
      <w:pPr>
        <w:numPr>
          <w:ilvl w:val="1"/>
          <w:numId w:val="2"/>
        </w:numPr>
        <w:pBdr>
          <w:top w:val="nil"/>
          <w:left w:val="nil"/>
          <w:bottom w:val="nil"/>
          <w:right w:val="nil"/>
          <w:between w:val="nil"/>
        </w:pBdr>
      </w:pPr>
      <w:r>
        <w:t xml:space="preserve">Conduct a comprehensive capital campaign to raise funding on behalf of Oregon Tech. </w:t>
      </w:r>
    </w:p>
    <w:p w14:paraId="12D8D8F5" w14:textId="77777777" w:rsidR="009A7E82" w:rsidRDefault="00000000">
      <w:r>
        <w:t xml:space="preserve">    </w:t>
      </w:r>
    </w:p>
    <w:p w14:paraId="2407E900" w14:textId="77777777" w:rsidR="009A7E82" w:rsidRDefault="00000000">
      <w:pPr>
        <w:rPr>
          <w:b/>
        </w:rPr>
      </w:pPr>
      <w:r>
        <w:t xml:space="preserve"> </w:t>
      </w:r>
      <w:r>
        <w:rPr>
          <w:b/>
          <w:u w:val="single"/>
        </w:rPr>
        <w:t>Pillar 2:  Scholars, Faculty and Staff</w:t>
      </w:r>
    </w:p>
    <w:p w14:paraId="5E826F1A" w14:textId="77777777" w:rsidR="009A7E82" w:rsidRDefault="00000000">
      <w:pPr>
        <w:numPr>
          <w:ilvl w:val="0"/>
          <w:numId w:val="3"/>
        </w:numPr>
        <w:pBdr>
          <w:top w:val="nil"/>
          <w:left w:val="nil"/>
          <w:bottom w:val="nil"/>
          <w:right w:val="nil"/>
          <w:between w:val="nil"/>
        </w:pBdr>
      </w:pPr>
      <w:r>
        <w:rPr>
          <w:color w:val="000000"/>
        </w:rPr>
        <w:t>Provide funds that enable OIT to recruit and retain top-of-class scholars from prior to arriving as a freshman at OIT through graduation from OIT to include:</w:t>
      </w:r>
    </w:p>
    <w:p w14:paraId="4CED2AEF" w14:textId="751780BA" w:rsidR="009A7E82" w:rsidRDefault="00620215">
      <w:pPr>
        <w:numPr>
          <w:ilvl w:val="1"/>
          <w:numId w:val="3"/>
        </w:numPr>
        <w:pBdr>
          <w:top w:val="nil"/>
          <w:left w:val="nil"/>
          <w:bottom w:val="nil"/>
          <w:right w:val="nil"/>
          <w:between w:val="nil"/>
        </w:pBdr>
      </w:pPr>
      <w:r>
        <w:rPr>
          <w:color w:val="000000"/>
        </w:rPr>
        <w:t>Elevate</w:t>
      </w:r>
      <w:r w:rsidR="00F67C48">
        <w:rPr>
          <w:color w:val="000000"/>
        </w:rPr>
        <w:t xml:space="preserve"> </w:t>
      </w:r>
      <w:r w:rsidR="00000000">
        <w:rPr>
          <w:color w:val="000000"/>
        </w:rPr>
        <w:t>the experiences and successes students have while attending OIT.</w:t>
      </w:r>
    </w:p>
    <w:p w14:paraId="419501A5" w14:textId="77777777" w:rsidR="009A7E82" w:rsidRDefault="00000000">
      <w:pPr>
        <w:numPr>
          <w:ilvl w:val="1"/>
          <w:numId w:val="3"/>
        </w:numPr>
        <w:pBdr>
          <w:top w:val="nil"/>
          <w:left w:val="nil"/>
          <w:bottom w:val="nil"/>
          <w:right w:val="nil"/>
          <w:between w:val="nil"/>
        </w:pBdr>
      </w:pPr>
      <w:r>
        <w:rPr>
          <w:color w:val="000000"/>
        </w:rPr>
        <w:t>Increasing the number and value of scholarship awards.</w:t>
      </w:r>
    </w:p>
    <w:p w14:paraId="0C6CE339" w14:textId="50E359C4" w:rsidR="009A7E82" w:rsidRDefault="00000000">
      <w:pPr>
        <w:numPr>
          <w:ilvl w:val="1"/>
          <w:numId w:val="3"/>
        </w:numPr>
        <w:pBdr>
          <w:top w:val="nil"/>
          <w:left w:val="nil"/>
          <w:bottom w:val="nil"/>
          <w:right w:val="nil"/>
          <w:between w:val="nil"/>
        </w:pBdr>
      </w:pPr>
      <w:r>
        <w:rPr>
          <w:color w:val="000000"/>
        </w:rPr>
        <w:t xml:space="preserve">Supporting student participation in projects, outreach, and competitions to expand the public’s awareness of OIT and the caliber of students </w:t>
      </w:r>
      <w:r w:rsidR="00620215">
        <w:rPr>
          <w:color w:val="000000"/>
        </w:rPr>
        <w:t>who</w:t>
      </w:r>
      <w:r>
        <w:rPr>
          <w:color w:val="000000"/>
        </w:rPr>
        <w:t xml:space="preserve"> attend OIT. </w:t>
      </w:r>
    </w:p>
    <w:p w14:paraId="4855B1BC" w14:textId="77777777" w:rsidR="009A7E82" w:rsidRDefault="00000000">
      <w:pPr>
        <w:numPr>
          <w:ilvl w:val="0"/>
          <w:numId w:val="3"/>
        </w:numPr>
        <w:pBdr>
          <w:top w:val="nil"/>
          <w:left w:val="nil"/>
          <w:bottom w:val="nil"/>
          <w:right w:val="nil"/>
          <w:between w:val="nil"/>
        </w:pBdr>
      </w:pPr>
      <w:r>
        <w:rPr>
          <w:color w:val="000000"/>
        </w:rPr>
        <w:lastRenderedPageBreak/>
        <w:t xml:space="preserve">Expand and strengthen contacts with industries that engage students as interns, provide project opportunities, and offer employment to OIT graduates. </w:t>
      </w:r>
    </w:p>
    <w:p w14:paraId="1A9063B3" w14:textId="77777777" w:rsidR="009A7E82" w:rsidRDefault="00000000">
      <w:pPr>
        <w:numPr>
          <w:ilvl w:val="0"/>
          <w:numId w:val="3"/>
        </w:numPr>
        <w:pBdr>
          <w:top w:val="nil"/>
          <w:left w:val="nil"/>
          <w:bottom w:val="nil"/>
          <w:right w:val="nil"/>
          <w:between w:val="nil"/>
        </w:pBdr>
      </w:pPr>
      <w:r>
        <w:rPr>
          <w:color w:val="000000"/>
        </w:rPr>
        <w:t xml:space="preserve">Provide funds that enable OIT to recruit and retain faculty to meet industry’s employment needs and changing technology to include: </w:t>
      </w:r>
    </w:p>
    <w:p w14:paraId="304D7ACF" w14:textId="77777777" w:rsidR="009A7E82" w:rsidRDefault="00000000">
      <w:pPr>
        <w:numPr>
          <w:ilvl w:val="1"/>
          <w:numId w:val="3"/>
        </w:numPr>
        <w:pBdr>
          <w:top w:val="nil"/>
          <w:left w:val="nil"/>
          <w:bottom w:val="nil"/>
          <w:right w:val="nil"/>
          <w:between w:val="nil"/>
        </w:pBdr>
      </w:pPr>
      <w:r>
        <w:rPr>
          <w:color w:val="000000"/>
        </w:rPr>
        <w:t>Support faculty participation in national-level research projects and conferences.</w:t>
      </w:r>
    </w:p>
    <w:p w14:paraId="276D1431" w14:textId="77777777" w:rsidR="009A7E82" w:rsidRDefault="00000000">
      <w:pPr>
        <w:numPr>
          <w:ilvl w:val="1"/>
          <w:numId w:val="3"/>
        </w:numPr>
        <w:pBdr>
          <w:top w:val="nil"/>
          <w:left w:val="nil"/>
          <w:bottom w:val="nil"/>
          <w:right w:val="nil"/>
          <w:between w:val="nil"/>
        </w:pBdr>
      </w:pPr>
      <w:r>
        <w:rPr>
          <w:color w:val="000000"/>
        </w:rPr>
        <w:t>Make funds available to faculty for student/industry projects.</w:t>
      </w:r>
    </w:p>
    <w:p w14:paraId="1EAC7019" w14:textId="77777777" w:rsidR="009A7E82" w:rsidRDefault="00000000">
      <w:pPr>
        <w:numPr>
          <w:ilvl w:val="1"/>
          <w:numId w:val="3"/>
        </w:numPr>
        <w:pBdr>
          <w:top w:val="nil"/>
          <w:left w:val="nil"/>
          <w:bottom w:val="nil"/>
          <w:right w:val="nil"/>
          <w:between w:val="nil"/>
        </w:pBdr>
      </w:pPr>
      <w:r>
        <w:rPr>
          <w:color w:val="000000"/>
        </w:rPr>
        <w:t>Recognize faculty members for achievement specified by OIT.</w:t>
      </w:r>
    </w:p>
    <w:p w14:paraId="58552FD2" w14:textId="77777777" w:rsidR="009A7E82" w:rsidRDefault="00000000">
      <w:pPr>
        <w:numPr>
          <w:ilvl w:val="1"/>
          <w:numId w:val="3"/>
        </w:numPr>
        <w:pBdr>
          <w:top w:val="nil"/>
          <w:left w:val="nil"/>
          <w:bottom w:val="nil"/>
          <w:right w:val="nil"/>
          <w:between w:val="nil"/>
        </w:pBdr>
      </w:pPr>
      <w:r>
        <w:rPr>
          <w:color w:val="000000"/>
        </w:rPr>
        <w:t xml:space="preserve">Establish one or more endowed chairs and/or professorships via industry sponsorship and/or endowed funding. </w:t>
      </w:r>
    </w:p>
    <w:p w14:paraId="571862BB" w14:textId="77777777" w:rsidR="009A7E82" w:rsidRDefault="009A7E82">
      <w:pPr>
        <w:rPr>
          <w:b/>
          <w:u w:val="single"/>
        </w:rPr>
      </w:pPr>
    </w:p>
    <w:p w14:paraId="5D9078CC" w14:textId="77777777" w:rsidR="009A7E82" w:rsidRDefault="00000000">
      <w:pPr>
        <w:rPr>
          <w:b/>
        </w:rPr>
      </w:pPr>
      <w:r>
        <w:rPr>
          <w:b/>
          <w:u w:val="single"/>
        </w:rPr>
        <w:t>Pillar 3:  Foundation Board and Directors</w:t>
      </w:r>
    </w:p>
    <w:p w14:paraId="0A771449" w14:textId="77777777" w:rsidR="009A7E82" w:rsidRDefault="00000000">
      <w:pPr>
        <w:numPr>
          <w:ilvl w:val="0"/>
          <w:numId w:val="4"/>
        </w:numPr>
        <w:pBdr>
          <w:top w:val="nil"/>
          <w:left w:val="nil"/>
          <w:bottom w:val="nil"/>
          <w:right w:val="nil"/>
          <w:between w:val="nil"/>
        </w:pBdr>
      </w:pPr>
      <w:r>
        <w:rPr>
          <w:color w:val="000000"/>
        </w:rPr>
        <w:t>Coordinate, prioritize, and enable efforts of directors:</w:t>
      </w:r>
    </w:p>
    <w:p w14:paraId="1551F6C2" w14:textId="77777777" w:rsidR="009A7E82" w:rsidRDefault="00000000">
      <w:pPr>
        <w:numPr>
          <w:ilvl w:val="2"/>
          <w:numId w:val="2"/>
        </w:numPr>
        <w:pBdr>
          <w:top w:val="nil"/>
          <w:left w:val="nil"/>
          <w:bottom w:val="nil"/>
          <w:right w:val="nil"/>
          <w:between w:val="nil"/>
        </w:pBdr>
      </w:pPr>
      <w:r>
        <w:rPr>
          <w:color w:val="000000"/>
        </w:rPr>
        <w:t>Assign and recruit directors motivated to accomplish specific tasks identified in this Strategic Plan and in the comprehensive capital campaign.</w:t>
      </w:r>
    </w:p>
    <w:p w14:paraId="047439D6" w14:textId="77777777" w:rsidR="009A7E82" w:rsidRDefault="00000000">
      <w:pPr>
        <w:numPr>
          <w:ilvl w:val="2"/>
          <w:numId w:val="2"/>
        </w:numPr>
        <w:pBdr>
          <w:top w:val="nil"/>
          <w:left w:val="nil"/>
          <w:bottom w:val="nil"/>
          <w:right w:val="nil"/>
          <w:between w:val="nil"/>
        </w:pBdr>
      </w:pPr>
      <w:r>
        <w:rPr>
          <w:color w:val="000000"/>
        </w:rPr>
        <w:t xml:space="preserve">Implement a system to measure progress toward achieving tasks. </w:t>
      </w:r>
    </w:p>
    <w:p w14:paraId="79DB738C" w14:textId="77777777" w:rsidR="009A7E82" w:rsidRDefault="00000000">
      <w:pPr>
        <w:numPr>
          <w:ilvl w:val="0"/>
          <w:numId w:val="4"/>
        </w:numPr>
        <w:pBdr>
          <w:top w:val="nil"/>
          <w:left w:val="nil"/>
          <w:bottom w:val="nil"/>
          <w:right w:val="nil"/>
          <w:between w:val="nil"/>
        </w:pBdr>
      </w:pPr>
      <w:r>
        <w:rPr>
          <w:color w:val="000000"/>
        </w:rPr>
        <w:t xml:space="preserve">Seek diversity in recruiting directors, including geography, industry, ethnicity, age, and gender.  </w:t>
      </w:r>
    </w:p>
    <w:p w14:paraId="72ECB386" w14:textId="77777777" w:rsidR="009A7E82" w:rsidRDefault="00000000">
      <w:pPr>
        <w:numPr>
          <w:ilvl w:val="0"/>
          <w:numId w:val="4"/>
        </w:numPr>
        <w:pBdr>
          <w:top w:val="nil"/>
          <w:left w:val="nil"/>
          <w:bottom w:val="nil"/>
          <w:right w:val="nil"/>
          <w:between w:val="nil"/>
        </w:pBdr>
      </w:pPr>
      <w:r>
        <w:rPr>
          <w:color w:val="000000"/>
        </w:rPr>
        <w:t xml:space="preserve">Intensify efforts to renew and strengthen Foundation board directors’ </w:t>
      </w:r>
    </w:p>
    <w:p w14:paraId="7DB00AA5" w14:textId="77777777" w:rsidR="009A7E82" w:rsidRDefault="00000000">
      <w:pPr>
        <w:ind w:left="720" w:firstLine="720"/>
      </w:pPr>
      <w:r>
        <w:t>connections with students, faculty, alumni, athletics, and the Board of Trustees.</w:t>
      </w:r>
    </w:p>
    <w:p w14:paraId="65955C97" w14:textId="77777777" w:rsidR="009A7E82" w:rsidRDefault="00000000">
      <w:pPr>
        <w:numPr>
          <w:ilvl w:val="0"/>
          <w:numId w:val="4"/>
        </w:numPr>
        <w:pBdr>
          <w:top w:val="nil"/>
          <w:left w:val="nil"/>
          <w:bottom w:val="nil"/>
          <w:right w:val="nil"/>
          <w:between w:val="nil"/>
        </w:pBdr>
      </w:pPr>
      <w:r>
        <w:rPr>
          <w:color w:val="000000"/>
        </w:rPr>
        <w:t xml:space="preserve">Establish a dedicated sub-committee of the Board to focus on extending OIT’s acquaintances with industries that are key to OIT’s mission. </w:t>
      </w:r>
    </w:p>
    <w:p w14:paraId="2E0E086A" w14:textId="77777777" w:rsidR="009A7E82" w:rsidRDefault="00000000">
      <w:pPr>
        <w:numPr>
          <w:ilvl w:val="0"/>
          <w:numId w:val="4"/>
        </w:numPr>
        <w:pBdr>
          <w:top w:val="nil"/>
          <w:left w:val="nil"/>
          <w:bottom w:val="nil"/>
          <w:right w:val="nil"/>
          <w:between w:val="nil"/>
        </w:pBdr>
      </w:pPr>
      <w:r>
        <w:rPr>
          <w:color w:val="000000"/>
        </w:rPr>
        <w:t xml:space="preserve">Board members to assist in recruiting students by presenting OIT info to high schools and other institutions. </w:t>
      </w:r>
    </w:p>
    <w:p w14:paraId="6B659223" w14:textId="77777777" w:rsidR="009A7E82" w:rsidRDefault="00000000">
      <w:pPr>
        <w:numPr>
          <w:ilvl w:val="0"/>
          <w:numId w:val="4"/>
        </w:numPr>
        <w:pBdr>
          <w:top w:val="nil"/>
          <w:left w:val="nil"/>
          <w:bottom w:val="nil"/>
          <w:right w:val="nil"/>
          <w:between w:val="nil"/>
        </w:pBdr>
      </w:pPr>
      <w:r>
        <w:rPr>
          <w:color w:val="000000"/>
        </w:rPr>
        <w:t>Develop a protocol instructing board members how to contact and follow up on a potential industry contact.</w:t>
      </w:r>
    </w:p>
    <w:p w14:paraId="32A43B6E" w14:textId="77777777" w:rsidR="009A7E82" w:rsidRDefault="009A7E82"/>
    <w:p w14:paraId="6188C865" w14:textId="77777777" w:rsidR="009A7E82" w:rsidRDefault="00000000">
      <w:pPr>
        <w:rPr>
          <w:b/>
          <w:u w:val="single"/>
        </w:rPr>
      </w:pPr>
      <w:r>
        <w:rPr>
          <w:b/>
          <w:u w:val="single"/>
        </w:rPr>
        <w:t>Pillar 4:  Establishing OIT as Industry’s Polytechnic University</w:t>
      </w:r>
    </w:p>
    <w:p w14:paraId="577CB7F0" w14:textId="77777777" w:rsidR="009A7E82" w:rsidRDefault="00000000">
      <w:pPr>
        <w:numPr>
          <w:ilvl w:val="0"/>
          <w:numId w:val="1"/>
        </w:numPr>
        <w:pBdr>
          <w:top w:val="nil"/>
          <w:left w:val="nil"/>
          <w:bottom w:val="nil"/>
          <w:right w:val="nil"/>
          <w:between w:val="nil"/>
        </w:pBdr>
      </w:pPr>
      <w:r>
        <w:rPr>
          <w:color w:val="000000"/>
        </w:rPr>
        <w:t xml:space="preserve">Support the administration in building OIT’s “brand” as Industry’s Polytechnic University.  </w:t>
      </w:r>
    </w:p>
    <w:p w14:paraId="66A94595" w14:textId="77777777" w:rsidR="009A7E82" w:rsidRDefault="00000000">
      <w:pPr>
        <w:numPr>
          <w:ilvl w:val="0"/>
          <w:numId w:val="1"/>
        </w:numPr>
        <w:pBdr>
          <w:top w:val="nil"/>
          <w:left w:val="nil"/>
          <w:bottom w:val="nil"/>
          <w:right w:val="nil"/>
          <w:between w:val="nil"/>
        </w:pBdr>
        <w:rPr>
          <w:color w:val="000000"/>
        </w:rPr>
      </w:pPr>
      <w:r>
        <w:rPr>
          <w:color w:val="000000"/>
        </w:rPr>
        <w:t xml:space="preserve">Support programs, projects, and people that lead to university-industry collaboration (i.e., research, funding, on-site continuing education, symposium presentations, entrepreneurship, public/private partnerships, MECOP, internships, and externships). </w:t>
      </w:r>
    </w:p>
    <w:p w14:paraId="06DF4557" w14:textId="77777777" w:rsidR="009A7E82" w:rsidRDefault="00000000">
      <w:pPr>
        <w:numPr>
          <w:ilvl w:val="0"/>
          <w:numId w:val="1"/>
        </w:numPr>
        <w:pBdr>
          <w:top w:val="nil"/>
          <w:left w:val="nil"/>
          <w:bottom w:val="nil"/>
          <w:right w:val="nil"/>
          <w:between w:val="nil"/>
        </w:pBdr>
      </w:pPr>
      <w:r>
        <w:rPr>
          <w:color w:val="000000"/>
        </w:rPr>
        <w:t>Seek relationships that increase the quantity and quality of opportunities and outcomes for faculty and students while maintaining the capacity to adjust to and meet changing societal, economic, and industrial demands.</w:t>
      </w:r>
    </w:p>
    <w:p w14:paraId="3E73D6C6" w14:textId="77777777" w:rsidR="009A7E82" w:rsidRDefault="009A7E82"/>
    <w:p w14:paraId="7D033E4C" w14:textId="77777777" w:rsidR="009A7E82" w:rsidRDefault="009A7E82"/>
    <w:sectPr w:rsidR="009A7E82">
      <w:footerReference w:type="even" r:id="rId9"/>
      <w:footerReference w:type="defaul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A58C" w14:textId="77777777" w:rsidR="0047562B" w:rsidRDefault="0047562B">
      <w:r>
        <w:separator/>
      </w:r>
    </w:p>
  </w:endnote>
  <w:endnote w:type="continuationSeparator" w:id="0">
    <w:p w14:paraId="3012B61B" w14:textId="77777777" w:rsidR="0047562B" w:rsidRDefault="0047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521C" w14:textId="77777777" w:rsidR="009A7E82" w:rsidRDefault="00000000">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0" distR="0" simplePos="0" relativeHeight="251660288" behindDoc="0" locked="0" layoutInCell="1" hidden="0" allowOverlap="1" wp14:anchorId="37689603" wp14:editId="424FB786">
              <wp:simplePos x="0" y="0"/>
              <wp:positionH relativeFrom="column">
                <wp:posOffset>-914399</wp:posOffset>
              </wp:positionH>
              <wp:positionV relativeFrom="paragraph">
                <wp:posOffset>0</wp:posOffset>
              </wp:positionV>
              <wp:extent cx="1997710" cy="735965"/>
              <wp:effectExtent l="0" t="0" r="0" b="0"/>
              <wp:wrapNone/>
              <wp:docPr id="6" name="Rectangle 6" descr="PUBLIC - Unrestricted Access"/>
              <wp:cNvGraphicFramePr/>
              <a:graphic xmlns:a="http://schemas.openxmlformats.org/drawingml/2006/main">
                <a:graphicData uri="http://schemas.microsoft.com/office/word/2010/wordprocessingShape">
                  <wps:wsp>
                    <wps:cNvSpPr/>
                    <wps:spPr>
                      <a:xfrm>
                        <a:off x="4351908" y="3416780"/>
                        <a:ext cx="1988185" cy="726440"/>
                      </a:xfrm>
                      <a:prstGeom prst="rect">
                        <a:avLst/>
                      </a:prstGeom>
                      <a:noFill/>
                      <a:ln>
                        <a:noFill/>
                      </a:ln>
                    </wps:spPr>
                    <wps:txbx>
                      <w:txbxContent>
                        <w:p w14:paraId="6D78AF89" w14:textId="77777777" w:rsidR="009A7E82" w:rsidRDefault="00000000">
                          <w:pPr>
                            <w:textDirection w:val="btLr"/>
                          </w:pPr>
                          <w:r>
                            <w:rPr>
                              <w:color w:val="000000"/>
                              <w:sz w:val="20"/>
                            </w:rPr>
                            <w:t>PUBLIC - Unrestricted Access</w:t>
                          </w:r>
                        </w:p>
                      </w:txbxContent>
                    </wps:txbx>
                    <wps:bodyPr spcFirstLastPara="1" wrap="square" lIns="444500" tIns="0" rIns="0" bIns="381000" anchor="b" anchorCtr="0">
                      <a:noAutofit/>
                    </wps:bodyPr>
                  </wps:wsp>
                </a:graphicData>
              </a:graphic>
            </wp:anchor>
          </w:drawing>
        </mc:Choice>
        <mc:Fallback>
          <w:pict>
            <v:rect w14:anchorId="37689603" id="Rectangle 6" o:spid="_x0000_s1026" alt="PUBLIC - Unrestricted Access" style="position:absolute;margin-left:-1in;margin-top:0;width:157.3pt;height:57.9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" filled="f" stroked="f">
              <v:textbox inset="35pt,0,0,30pt">
                <w:txbxContent>
                  <w:p w14:paraId="6D78AF89" w14:textId="77777777" w:rsidR="009A7E82" w:rsidRDefault="00000000">
                    <w:pPr>
                      <w:textDirection w:val="btLr"/>
                    </w:pPr>
                    <w:r>
                      <w:rPr>
                        <w:color w:val="000000"/>
                        <w:sz w:val="20"/>
                      </w:rPr>
                      <w:t>PUBLIC - Unrestricted Access</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07FD" w14:textId="77777777" w:rsidR="009A7E82"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F67C48">
      <w:rPr>
        <w:noProof/>
        <w:color w:val="000000"/>
      </w:rPr>
      <w:t>1</w:t>
    </w:r>
    <w:r>
      <w:rPr>
        <w:color w:val="000000"/>
      </w:rPr>
      <w:fldChar w:fldCharType="end"/>
    </w:r>
    <w:r>
      <w:rPr>
        <w:noProof/>
      </w:rPr>
      <mc:AlternateContent>
        <mc:Choice Requires="wps">
          <w:drawing>
            <wp:anchor distT="0" distB="0" distL="0" distR="0" simplePos="0" relativeHeight="251658240" behindDoc="0" locked="0" layoutInCell="1" hidden="0" allowOverlap="1" wp14:anchorId="07405FA2" wp14:editId="4BA1760F">
              <wp:simplePos x="0" y="0"/>
              <wp:positionH relativeFrom="column">
                <wp:posOffset>-914399</wp:posOffset>
              </wp:positionH>
              <wp:positionV relativeFrom="paragraph">
                <wp:posOffset>0</wp:posOffset>
              </wp:positionV>
              <wp:extent cx="1997710" cy="735965"/>
              <wp:effectExtent l="0" t="0" r="0" b="0"/>
              <wp:wrapNone/>
              <wp:docPr id="7" name="Rectangle 7" descr="PUBLIC - Unrestricted Access"/>
              <wp:cNvGraphicFramePr/>
              <a:graphic xmlns:a="http://schemas.openxmlformats.org/drawingml/2006/main">
                <a:graphicData uri="http://schemas.microsoft.com/office/word/2010/wordprocessingShape">
                  <wps:wsp>
                    <wps:cNvSpPr/>
                    <wps:spPr>
                      <a:xfrm>
                        <a:off x="4351908" y="3416780"/>
                        <a:ext cx="1988185" cy="726440"/>
                      </a:xfrm>
                      <a:prstGeom prst="rect">
                        <a:avLst/>
                      </a:prstGeom>
                      <a:noFill/>
                      <a:ln>
                        <a:noFill/>
                      </a:ln>
                    </wps:spPr>
                    <wps:txbx>
                      <w:txbxContent>
                        <w:p w14:paraId="768FEA92" w14:textId="77777777" w:rsidR="009A7E82" w:rsidRDefault="00000000">
                          <w:pPr>
                            <w:textDirection w:val="btLr"/>
                          </w:pPr>
                          <w:r>
                            <w:rPr>
                              <w:color w:val="000000"/>
                              <w:sz w:val="20"/>
                            </w:rPr>
                            <w:t>PUBLIC - Unrestricted Access</w:t>
                          </w:r>
                        </w:p>
                      </w:txbxContent>
                    </wps:txbx>
                    <wps:bodyPr spcFirstLastPara="1" wrap="square" lIns="444500" tIns="0" rIns="0" bIns="381000" anchor="b" anchorCtr="0">
                      <a:noAutofit/>
                    </wps:bodyPr>
                  </wps:wsp>
                </a:graphicData>
              </a:graphic>
            </wp:anchor>
          </w:drawing>
        </mc:Choice>
        <mc:Fallback>
          <w:pict>
            <v:rect w14:anchorId="07405FA2" id="Rectangle 7" o:spid="_x0000_s1027" alt="PUBLIC - Unrestricted Access" style="position:absolute;left:0;text-align:left;margin-left:-1in;margin-top:0;width:157.3pt;height:57.95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" filled="f" stroked="f">
              <v:textbox inset="35pt,0,0,30pt">
                <w:txbxContent>
                  <w:p w14:paraId="768FEA92" w14:textId="77777777" w:rsidR="009A7E82" w:rsidRDefault="00000000">
                    <w:pPr>
                      <w:textDirection w:val="btLr"/>
                    </w:pPr>
                    <w:r>
                      <w:rPr>
                        <w:color w:val="000000"/>
                        <w:sz w:val="20"/>
                      </w:rPr>
                      <w:t>PUBLIC - Unrestricted Access</w:t>
                    </w:r>
                  </w:p>
                </w:txbxContent>
              </v:textbox>
            </v:rect>
          </w:pict>
        </mc:Fallback>
      </mc:AlternateContent>
    </w:r>
  </w:p>
  <w:p w14:paraId="54716BAC" w14:textId="77777777" w:rsidR="009A7E82" w:rsidRDefault="009A7E8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AB4B" w14:textId="77777777" w:rsidR="009A7E82" w:rsidRDefault="00000000">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0" distR="0" simplePos="0" relativeHeight="251659264" behindDoc="0" locked="0" layoutInCell="1" hidden="0" allowOverlap="1" wp14:anchorId="0C3AFDBC" wp14:editId="4E24D86F">
              <wp:simplePos x="0" y="0"/>
              <wp:positionH relativeFrom="column">
                <wp:posOffset>-914399</wp:posOffset>
              </wp:positionH>
              <wp:positionV relativeFrom="paragraph">
                <wp:posOffset>0</wp:posOffset>
              </wp:positionV>
              <wp:extent cx="1997710" cy="735965"/>
              <wp:effectExtent l="0" t="0" r="0" b="0"/>
              <wp:wrapNone/>
              <wp:docPr id="5" name="Rectangle 5" descr="PUBLIC - Unrestricted Access"/>
              <wp:cNvGraphicFramePr/>
              <a:graphic xmlns:a="http://schemas.openxmlformats.org/drawingml/2006/main">
                <a:graphicData uri="http://schemas.microsoft.com/office/word/2010/wordprocessingShape">
                  <wps:wsp>
                    <wps:cNvSpPr/>
                    <wps:spPr>
                      <a:xfrm>
                        <a:off x="4351908" y="3416780"/>
                        <a:ext cx="1988185" cy="726440"/>
                      </a:xfrm>
                      <a:prstGeom prst="rect">
                        <a:avLst/>
                      </a:prstGeom>
                      <a:noFill/>
                      <a:ln>
                        <a:noFill/>
                      </a:ln>
                    </wps:spPr>
                    <wps:txbx>
                      <w:txbxContent>
                        <w:p w14:paraId="0E3F5200" w14:textId="77777777" w:rsidR="009A7E82" w:rsidRDefault="00000000">
                          <w:pPr>
                            <w:textDirection w:val="btLr"/>
                          </w:pPr>
                          <w:r>
                            <w:rPr>
                              <w:color w:val="000000"/>
                              <w:sz w:val="20"/>
                            </w:rPr>
                            <w:t>PUBLIC - Unrestricted Access</w:t>
                          </w:r>
                        </w:p>
                      </w:txbxContent>
                    </wps:txbx>
                    <wps:bodyPr spcFirstLastPara="1" wrap="square" lIns="444500" tIns="0" rIns="0" bIns="381000" anchor="b" anchorCtr="0">
                      <a:noAutofit/>
                    </wps:bodyPr>
                  </wps:wsp>
                </a:graphicData>
              </a:graphic>
            </wp:anchor>
          </w:drawing>
        </mc:Choice>
        <mc:Fallback>
          <w:pict>
            <v:rect w14:anchorId="0C3AFDBC" id="Rectangle 5" o:spid="_x0000_s1028" alt="PUBLIC - Unrestricted Access" style="position:absolute;margin-left:-1in;margin-top:0;width:157.3pt;height:57.95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" filled="f" stroked="f">
              <v:textbox inset="35pt,0,0,30pt">
                <w:txbxContent>
                  <w:p w14:paraId="0E3F5200" w14:textId="77777777" w:rsidR="009A7E82" w:rsidRDefault="00000000">
                    <w:pPr>
                      <w:textDirection w:val="btLr"/>
                    </w:pPr>
                    <w:r>
                      <w:rPr>
                        <w:color w:val="000000"/>
                        <w:sz w:val="20"/>
                      </w:rPr>
                      <w:t>PUBLIC - Unrestricted Access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1C167" w14:textId="77777777" w:rsidR="0047562B" w:rsidRDefault="0047562B">
      <w:r>
        <w:separator/>
      </w:r>
    </w:p>
  </w:footnote>
  <w:footnote w:type="continuationSeparator" w:id="0">
    <w:p w14:paraId="64B9AFE0" w14:textId="77777777" w:rsidR="0047562B" w:rsidRDefault="00475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58AC"/>
    <w:multiLevelType w:val="multilevel"/>
    <w:tmpl w:val="05F03D34"/>
    <w:lvl w:ilvl="0">
      <w:start w:val="1"/>
      <w:numFmt w:val="lowerLetter"/>
      <w:lvlText w:val="%1."/>
      <w:lvlJc w:val="left"/>
      <w:pPr>
        <w:ind w:left="1440" w:hanging="360"/>
      </w:pPr>
    </w:lvl>
    <w:lvl w:ilvl="1">
      <w:start w:val="1"/>
      <w:numFmt w:val="lowerRoman"/>
      <w:lvlText w:val="%2."/>
      <w:lvlJc w:val="left"/>
      <w:pPr>
        <w:ind w:left="2160" w:hanging="360"/>
      </w:pPr>
      <w:rPr>
        <w:rFonts w:ascii="Calibri" w:eastAsia="Calibri" w:hAnsi="Calibri" w:cs="Calibri"/>
      </w:rPr>
    </w:lvl>
    <w:lvl w:ilvl="2">
      <w:start w:val="1"/>
      <w:numFmt w:val="lowerRoman"/>
      <w:lvlText w:val="%3."/>
      <w:lvlJc w:val="right"/>
      <w:pPr>
        <w:ind w:left="2880" w:hanging="180"/>
      </w:pPr>
      <w:rPr>
        <w:rFonts w:ascii="Calibri" w:eastAsia="Calibri" w:hAnsi="Calibri" w:cs="Calibri"/>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8260621"/>
    <w:multiLevelType w:val="multilevel"/>
    <w:tmpl w:val="AB5681FA"/>
    <w:lvl w:ilvl="0">
      <w:start w:val="1"/>
      <w:numFmt w:val="lowerLetter"/>
      <w:lvlText w:val="%1."/>
      <w:lvlJc w:val="left"/>
      <w:pPr>
        <w:ind w:left="1460" w:hanging="360"/>
      </w:pPr>
    </w:lvl>
    <w:lvl w:ilvl="1">
      <w:start w:val="1"/>
      <w:numFmt w:val="lowerRoman"/>
      <w:lvlText w:val="%2."/>
      <w:lvlJc w:val="left"/>
      <w:pPr>
        <w:ind w:left="2180" w:hanging="360"/>
      </w:pPr>
      <w:rPr>
        <w:rFonts w:ascii="Calibri" w:eastAsia="Calibri" w:hAnsi="Calibri" w:cs="Calibri"/>
      </w:rPr>
    </w:lvl>
    <w:lvl w:ilvl="2">
      <w:start w:val="1"/>
      <w:numFmt w:val="lowerRoman"/>
      <w:lvlText w:val="%3."/>
      <w:lvlJc w:val="right"/>
      <w:pPr>
        <w:ind w:left="2900" w:hanging="180"/>
      </w:pPr>
      <w:rPr>
        <w:rFonts w:ascii="Calibri" w:eastAsia="Calibri" w:hAnsi="Calibri" w:cs="Calibri"/>
      </w:rPr>
    </w:lvl>
    <w:lvl w:ilvl="3">
      <w:start w:val="1"/>
      <w:numFmt w:val="decimal"/>
      <w:lvlText w:val="%4."/>
      <w:lvlJc w:val="left"/>
      <w:pPr>
        <w:ind w:left="3620" w:hanging="360"/>
      </w:pPr>
    </w:lvl>
    <w:lvl w:ilvl="4">
      <w:start w:val="1"/>
      <w:numFmt w:val="lowerLetter"/>
      <w:lvlText w:val="%5."/>
      <w:lvlJc w:val="left"/>
      <w:pPr>
        <w:ind w:left="4340" w:hanging="360"/>
      </w:pPr>
    </w:lvl>
    <w:lvl w:ilvl="5">
      <w:start w:val="1"/>
      <w:numFmt w:val="lowerRoman"/>
      <w:lvlText w:val="%6."/>
      <w:lvlJc w:val="right"/>
      <w:pPr>
        <w:ind w:left="5060" w:hanging="180"/>
      </w:pPr>
    </w:lvl>
    <w:lvl w:ilvl="6">
      <w:start w:val="1"/>
      <w:numFmt w:val="decimal"/>
      <w:lvlText w:val="%7."/>
      <w:lvlJc w:val="left"/>
      <w:pPr>
        <w:ind w:left="5780" w:hanging="360"/>
      </w:pPr>
    </w:lvl>
    <w:lvl w:ilvl="7">
      <w:start w:val="1"/>
      <w:numFmt w:val="lowerLetter"/>
      <w:lvlText w:val="%8."/>
      <w:lvlJc w:val="left"/>
      <w:pPr>
        <w:ind w:left="6500" w:hanging="360"/>
      </w:pPr>
    </w:lvl>
    <w:lvl w:ilvl="8">
      <w:start w:val="1"/>
      <w:numFmt w:val="lowerRoman"/>
      <w:lvlText w:val="%9."/>
      <w:lvlJc w:val="right"/>
      <w:pPr>
        <w:ind w:left="7220" w:hanging="180"/>
      </w:pPr>
    </w:lvl>
  </w:abstractNum>
  <w:abstractNum w:abstractNumId="2" w15:restartNumberingAfterBreak="0">
    <w:nsid w:val="5BDD759B"/>
    <w:multiLevelType w:val="multilevel"/>
    <w:tmpl w:val="309C3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FCF6E18"/>
    <w:multiLevelType w:val="multilevel"/>
    <w:tmpl w:val="C6AA1ED8"/>
    <w:lvl w:ilvl="0">
      <w:start w:val="1"/>
      <w:numFmt w:val="lowerLetter"/>
      <w:lvlText w:val="%1."/>
      <w:lvlJc w:val="left"/>
      <w:pPr>
        <w:ind w:left="1460" w:hanging="360"/>
      </w:pPr>
    </w:lvl>
    <w:lvl w:ilvl="1">
      <w:start w:val="1"/>
      <w:numFmt w:val="lowerLetter"/>
      <w:lvlText w:val="%2."/>
      <w:lvlJc w:val="left"/>
      <w:pPr>
        <w:ind w:left="2180" w:hanging="360"/>
      </w:pPr>
      <w:rPr>
        <w:rFonts w:ascii="Calibri" w:eastAsia="Calibri" w:hAnsi="Calibri" w:cs="Calibri"/>
      </w:rPr>
    </w:lvl>
    <w:lvl w:ilvl="2">
      <w:start w:val="1"/>
      <w:numFmt w:val="lowerRoman"/>
      <w:lvlText w:val="%3."/>
      <w:lvlJc w:val="right"/>
      <w:pPr>
        <w:ind w:left="2900" w:hanging="180"/>
      </w:pPr>
    </w:lvl>
    <w:lvl w:ilvl="3">
      <w:start w:val="1"/>
      <w:numFmt w:val="decimal"/>
      <w:lvlText w:val="%4."/>
      <w:lvlJc w:val="left"/>
      <w:pPr>
        <w:ind w:left="3620" w:hanging="360"/>
      </w:pPr>
    </w:lvl>
    <w:lvl w:ilvl="4">
      <w:start w:val="1"/>
      <w:numFmt w:val="lowerLetter"/>
      <w:lvlText w:val="%5."/>
      <w:lvlJc w:val="left"/>
      <w:pPr>
        <w:ind w:left="4340" w:hanging="360"/>
      </w:pPr>
    </w:lvl>
    <w:lvl w:ilvl="5">
      <w:start w:val="1"/>
      <w:numFmt w:val="lowerRoman"/>
      <w:lvlText w:val="%6."/>
      <w:lvlJc w:val="right"/>
      <w:pPr>
        <w:ind w:left="5060" w:hanging="180"/>
      </w:pPr>
    </w:lvl>
    <w:lvl w:ilvl="6">
      <w:start w:val="1"/>
      <w:numFmt w:val="decimal"/>
      <w:lvlText w:val="%7."/>
      <w:lvlJc w:val="left"/>
      <w:pPr>
        <w:ind w:left="5780" w:hanging="360"/>
      </w:pPr>
    </w:lvl>
    <w:lvl w:ilvl="7">
      <w:start w:val="1"/>
      <w:numFmt w:val="lowerLetter"/>
      <w:lvlText w:val="%8."/>
      <w:lvlJc w:val="left"/>
      <w:pPr>
        <w:ind w:left="6500" w:hanging="360"/>
      </w:pPr>
    </w:lvl>
    <w:lvl w:ilvl="8">
      <w:start w:val="1"/>
      <w:numFmt w:val="lowerRoman"/>
      <w:lvlText w:val="%9."/>
      <w:lvlJc w:val="right"/>
      <w:pPr>
        <w:ind w:left="7220" w:hanging="180"/>
      </w:pPr>
    </w:lvl>
  </w:abstractNum>
  <w:num w:numId="1" w16cid:durableId="1464999416">
    <w:abstractNumId w:val="1"/>
  </w:num>
  <w:num w:numId="2" w16cid:durableId="127210522">
    <w:abstractNumId w:val="2"/>
  </w:num>
  <w:num w:numId="3" w16cid:durableId="1755277259">
    <w:abstractNumId w:val="0"/>
  </w:num>
  <w:num w:numId="4" w16cid:durableId="372192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E82"/>
    <w:rsid w:val="0047562B"/>
    <w:rsid w:val="00620215"/>
    <w:rsid w:val="009A7E82"/>
    <w:rsid w:val="00F6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5D07"/>
  <w15:docId w15:val="{C7C9BC0C-D1A6-4B7D-AC31-7B1B0170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049E2"/>
    <w:pPr>
      <w:ind w:left="720"/>
      <w:contextualSpacing/>
    </w:pPr>
  </w:style>
  <w:style w:type="paragraph" w:styleId="Revision">
    <w:name w:val="Revision"/>
    <w:hidden/>
    <w:uiPriority w:val="99"/>
    <w:semiHidden/>
    <w:rsid w:val="00D235DE"/>
  </w:style>
  <w:style w:type="paragraph" w:styleId="Header">
    <w:name w:val="header"/>
    <w:basedOn w:val="Normal"/>
    <w:link w:val="HeaderChar"/>
    <w:uiPriority w:val="99"/>
    <w:unhideWhenUsed/>
    <w:rsid w:val="00976443"/>
    <w:pPr>
      <w:tabs>
        <w:tab w:val="center" w:pos="4680"/>
        <w:tab w:val="right" w:pos="9360"/>
      </w:tabs>
    </w:pPr>
  </w:style>
  <w:style w:type="character" w:customStyle="1" w:styleId="HeaderChar">
    <w:name w:val="Header Char"/>
    <w:basedOn w:val="DefaultParagraphFont"/>
    <w:link w:val="Header"/>
    <w:uiPriority w:val="99"/>
    <w:rsid w:val="00976443"/>
  </w:style>
  <w:style w:type="paragraph" w:styleId="Footer">
    <w:name w:val="footer"/>
    <w:basedOn w:val="Normal"/>
    <w:link w:val="FooterChar"/>
    <w:uiPriority w:val="99"/>
    <w:unhideWhenUsed/>
    <w:rsid w:val="00976443"/>
    <w:pPr>
      <w:tabs>
        <w:tab w:val="center" w:pos="4680"/>
        <w:tab w:val="right" w:pos="9360"/>
      </w:tabs>
    </w:pPr>
  </w:style>
  <w:style w:type="character" w:customStyle="1" w:styleId="FooterChar">
    <w:name w:val="Footer Char"/>
    <w:basedOn w:val="DefaultParagraphFont"/>
    <w:link w:val="Footer"/>
    <w:uiPriority w:val="99"/>
    <w:rsid w:val="0097644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B4PiPJ9CGQWZPtmV37Yr06K+KA==">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Oregon Institute of Technology</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Strategic Plan Cmte</dc:creator>
  <cp:lastModifiedBy>Ken Fincher</cp:lastModifiedBy>
  <cp:revision>2</cp:revision>
  <dcterms:created xsi:type="dcterms:W3CDTF">2023-09-13T16:04:00Z</dcterms:created>
  <dcterms:modified xsi:type="dcterms:W3CDTF">2023-09-13T16:04:00Z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27d34179d91c9e455cb86d5226d94f135b2f81deeb6cb4d12afa25ecfd209569</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PUBLIC - Unrestricted Access</vt:lpwstr>
  </property>
  <property fmtid="{D5CDD505-2E9C-101B-9397-08002B2CF9AE}" pid="6" name="MSIP_Label_c331848e-2430-41de-8263-33af6becbc41_Enabled">
    <vt:lpwstr>true</vt:lpwstr>
  </property>
  <property fmtid="{D5CDD505-2E9C-101B-9397-08002B2CF9AE}" pid="7" name="MSIP_Label_c331848e-2430-41de-8263-33af6becbc41_SetDate">
    <vt:lpwstr>2023-08-07T21:55:01Z</vt:lpwstr>
  </property>
  <property fmtid="{D5CDD505-2E9C-101B-9397-08002B2CF9AE}" pid="8" name="MSIP_Label_c331848e-2430-41de-8263-33af6becbc41_Method">
    <vt:lpwstr>Privileged</vt:lpwstr>
  </property>
  <property fmtid="{D5CDD505-2E9C-101B-9397-08002B2CF9AE}" pid="9" name="MSIP_Label_c331848e-2430-41de-8263-33af6becbc41_Name">
    <vt:lpwstr>WG001-Public</vt:lpwstr>
  </property>
  <property fmtid="{D5CDD505-2E9C-101B-9397-08002B2CF9AE}" pid="10" name="MSIP_Label_c331848e-2430-41de-8263-33af6becbc41_SiteId">
    <vt:lpwstr>b771cb47-279a-4b84-aaeb-14a9b7a71446</vt:lpwstr>
  </property>
  <property fmtid="{D5CDD505-2E9C-101B-9397-08002B2CF9AE}" pid="11" name="MSIP_Label_c331848e-2430-41de-8263-33af6becbc41_ActionId">
    <vt:lpwstr>2c2926ac-533d-4d5c-9a93-8118c96ec3f8</vt:lpwstr>
  </property>
  <property fmtid="{D5CDD505-2E9C-101B-9397-08002B2CF9AE}" pid="12" name="MSIP_Label_c331848e-2430-41de-8263-33af6becbc41_ContentBits">
    <vt:lpwstr>2</vt:lpwstr>
  </property>
</Properties>
</file>